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919" w:rsidRPr="00696818" w:rsidRDefault="00846919" w:rsidP="00846919">
      <w:pPr>
        <w:ind w:firstLine="709"/>
        <w:jc w:val="right"/>
        <w:rPr>
          <w:color w:val="000000"/>
          <w:sz w:val="28"/>
          <w:szCs w:val="28"/>
        </w:rPr>
      </w:pPr>
      <w:r w:rsidRPr="00696818">
        <w:rPr>
          <w:color w:val="000000"/>
          <w:sz w:val="28"/>
          <w:szCs w:val="28"/>
        </w:rPr>
        <w:t>«10» января 2019 года</w:t>
      </w:r>
    </w:p>
    <w:tbl>
      <w:tblPr>
        <w:tblW w:w="0" w:type="auto"/>
        <w:jc w:val="center"/>
        <w:tblInd w:w="-72" w:type="dxa"/>
        <w:tblLook w:val="01E0" w:firstRow="1" w:lastRow="1" w:firstColumn="1" w:lastColumn="1" w:noHBand="0" w:noVBand="0"/>
      </w:tblPr>
      <w:tblGrid>
        <w:gridCol w:w="1506"/>
        <w:gridCol w:w="7577"/>
      </w:tblGrid>
      <w:tr w:rsidR="00846919" w:rsidRPr="00696818" w:rsidTr="00F24DC9">
        <w:trPr>
          <w:trHeight w:val="1516"/>
          <w:jc w:val="center"/>
        </w:trPr>
        <w:tc>
          <w:tcPr>
            <w:tcW w:w="0" w:type="auto"/>
            <w:shd w:val="clear" w:color="auto" w:fill="auto"/>
          </w:tcPr>
          <w:p w:rsidR="00846919" w:rsidRPr="00696818" w:rsidRDefault="00846919" w:rsidP="00F24DC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819150" cy="10763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</w:tcPr>
          <w:p w:rsidR="00846919" w:rsidRPr="00696818" w:rsidRDefault="00846919" w:rsidP="00F24DC9">
            <w:pPr>
              <w:spacing w:line="738" w:lineRule="exact"/>
              <w:ind w:left="18"/>
              <w:jc w:val="center"/>
              <w:rPr>
                <w:b/>
                <w:color w:val="000000"/>
                <w:spacing w:val="-4"/>
                <w:sz w:val="28"/>
                <w:szCs w:val="28"/>
              </w:rPr>
            </w:pPr>
            <w:r>
              <w:rPr>
                <w:b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138430</wp:posOffset>
                      </wp:positionV>
                      <wp:extent cx="4740910" cy="0"/>
                      <wp:effectExtent l="17145" t="15240" r="13970" b="13335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4091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10.9pt" to="373.0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" strokeweight="1.5pt"/>
                  </w:pict>
                </mc:Fallback>
              </mc:AlternateContent>
            </w:r>
            <w:r w:rsidRPr="00696818">
              <w:rPr>
                <w:b/>
                <w:bCs/>
                <w:color w:val="000000"/>
                <w:spacing w:val="-4"/>
                <w:w w:val="133"/>
                <w:sz w:val="28"/>
                <w:szCs w:val="28"/>
              </w:rPr>
              <w:t>ПРОКУРАТУРА Нижневартовского района</w:t>
            </w:r>
          </w:p>
          <w:p w:rsidR="00846919" w:rsidRPr="00696818" w:rsidRDefault="00846919" w:rsidP="00F24DC9">
            <w:pPr>
              <w:ind w:left="18"/>
              <w:jc w:val="center"/>
              <w:rPr>
                <w:color w:val="000000"/>
                <w:spacing w:val="8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414655</wp:posOffset>
                      </wp:positionV>
                      <wp:extent cx="4740910" cy="0"/>
                      <wp:effectExtent l="29845" t="36195" r="29845" b="3048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4091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2.65pt" to="373.3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" strokeweight="4.5pt"/>
                  </w:pict>
                </mc:Fallback>
              </mc:AlternateContent>
            </w:r>
            <w:r w:rsidRPr="00696818">
              <w:rPr>
                <w:color w:val="000000"/>
                <w:spacing w:val="8"/>
                <w:sz w:val="28"/>
                <w:szCs w:val="28"/>
              </w:rPr>
              <w:t>Ханты-Мансийского автономного округа - Югры</w:t>
            </w:r>
          </w:p>
        </w:tc>
      </w:tr>
    </w:tbl>
    <w:p w:rsidR="00846919" w:rsidRPr="00EF0478" w:rsidRDefault="00846919" w:rsidP="00846919">
      <w:pPr>
        <w:pStyle w:val="1"/>
        <w:spacing w:before="0" w:after="0" w:line="24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F0478">
        <w:rPr>
          <w:rFonts w:ascii="Times New Roman" w:hAnsi="Times New Roman" w:cs="Times New Roman"/>
          <w:color w:val="000000"/>
          <w:sz w:val="28"/>
          <w:szCs w:val="28"/>
        </w:rPr>
        <w:t>Внесены изменения в правила проведения дорожных работ</w:t>
      </w:r>
    </w:p>
    <w:p w:rsidR="00846919" w:rsidRPr="00EF0478" w:rsidRDefault="00846919" w:rsidP="00846919">
      <w:pPr>
        <w:pStyle w:val="a3"/>
        <w:spacing w:after="0"/>
        <w:ind w:firstLine="709"/>
        <w:rPr>
          <w:color w:val="000000"/>
          <w:sz w:val="28"/>
          <w:szCs w:val="28"/>
        </w:rPr>
      </w:pPr>
    </w:p>
    <w:p w:rsidR="00846919" w:rsidRPr="00EF0478" w:rsidRDefault="00846919" w:rsidP="00846919">
      <w:pPr>
        <w:pStyle w:val="a3"/>
        <w:spacing w:after="0"/>
        <w:ind w:firstLine="709"/>
        <w:rPr>
          <w:color w:val="000000"/>
          <w:sz w:val="28"/>
          <w:szCs w:val="28"/>
        </w:rPr>
      </w:pPr>
      <w:r w:rsidRPr="00EF0478">
        <w:rPr>
          <w:color w:val="000000"/>
          <w:sz w:val="28"/>
          <w:szCs w:val="28"/>
        </w:rPr>
        <w:t>30 декабря 2018 года вступил в силу</w:t>
      </w:r>
      <w:r>
        <w:rPr>
          <w:color w:val="000000"/>
          <w:sz w:val="28"/>
          <w:szCs w:val="28"/>
        </w:rPr>
        <w:t xml:space="preserve"> </w:t>
      </w:r>
      <w:r w:rsidRPr="00EF0478">
        <w:rPr>
          <w:color w:val="000000"/>
          <w:sz w:val="28"/>
          <w:szCs w:val="28"/>
        </w:rPr>
        <w:t xml:space="preserve">Федеральный закон от 29 декабря 2017 г. </w:t>
      </w:r>
      <w:r>
        <w:rPr>
          <w:color w:val="000000"/>
          <w:sz w:val="28"/>
          <w:szCs w:val="28"/>
        </w:rPr>
        <w:t>№</w:t>
      </w:r>
      <w:r w:rsidRPr="00EF0478">
        <w:rPr>
          <w:color w:val="000000"/>
          <w:sz w:val="28"/>
          <w:szCs w:val="28"/>
        </w:rPr>
        <w:t xml:space="preserve">443-ФЗ </w:t>
      </w:r>
      <w:r>
        <w:rPr>
          <w:color w:val="000000"/>
          <w:sz w:val="28"/>
          <w:szCs w:val="28"/>
        </w:rPr>
        <w:t>«</w:t>
      </w:r>
      <w:hyperlink r:id="rId6" w:history="1">
        <w:r w:rsidRPr="00EF0478">
          <w:rPr>
            <w:rStyle w:val="a4"/>
            <w:color w:val="000000"/>
            <w:sz w:val="28"/>
            <w:szCs w:val="28"/>
          </w:rPr>
          <w:t>Об организации дорожного движения в Российской Федерации и о внесении изменений в отдельные законодательные акты Российской Федерации</w:t>
        </w:r>
      </w:hyperlink>
      <w:r>
        <w:rPr>
          <w:color w:val="000000"/>
          <w:sz w:val="28"/>
          <w:szCs w:val="28"/>
        </w:rPr>
        <w:t>»</w:t>
      </w:r>
      <w:r w:rsidRPr="00EF0478">
        <w:rPr>
          <w:color w:val="000000"/>
          <w:sz w:val="28"/>
          <w:szCs w:val="28"/>
        </w:rPr>
        <w:t>, регулирующий общественные отношения, возникающие в процессе организации дорожного движения, а также при организации и осуществлении парковочной деятельности.</w:t>
      </w:r>
    </w:p>
    <w:p w:rsidR="00846919" w:rsidRPr="00EF0478" w:rsidRDefault="00846919" w:rsidP="00846919">
      <w:pPr>
        <w:pStyle w:val="a3"/>
        <w:spacing w:after="0"/>
        <w:ind w:firstLine="709"/>
        <w:rPr>
          <w:color w:val="000000"/>
          <w:sz w:val="28"/>
          <w:szCs w:val="28"/>
        </w:rPr>
      </w:pPr>
      <w:r w:rsidRPr="00EF0478">
        <w:rPr>
          <w:color w:val="000000"/>
          <w:sz w:val="28"/>
          <w:szCs w:val="28"/>
        </w:rPr>
        <w:t>Одно из нововведений касается</w:t>
      </w:r>
      <w:r>
        <w:rPr>
          <w:color w:val="000000"/>
          <w:sz w:val="28"/>
          <w:szCs w:val="28"/>
        </w:rPr>
        <w:t xml:space="preserve"> </w:t>
      </w:r>
      <w:r w:rsidRPr="00EF0478">
        <w:rPr>
          <w:color w:val="000000"/>
          <w:sz w:val="28"/>
          <w:szCs w:val="28"/>
        </w:rPr>
        <w:t>правил проведения дорожных работ.</w:t>
      </w:r>
    </w:p>
    <w:p w:rsidR="00846919" w:rsidRPr="00EF0478" w:rsidRDefault="00846919" w:rsidP="00846919">
      <w:pPr>
        <w:pStyle w:val="a3"/>
        <w:spacing w:after="0"/>
        <w:ind w:firstLine="709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У</w:t>
      </w:r>
      <w:hyperlink r:id="rId7" w:anchor="block_1159832/#block_115" w:history="1">
        <w:r>
          <w:rPr>
            <w:rStyle w:val="a4"/>
            <w:color w:val="000000"/>
            <w:sz w:val="28"/>
            <w:szCs w:val="28"/>
          </w:rPr>
          <w:t>становлено</w:t>
        </w:r>
        <w:proofErr w:type="gramEnd"/>
      </w:hyperlink>
      <w:r w:rsidRPr="00EF0478">
        <w:rPr>
          <w:color w:val="000000"/>
          <w:sz w:val="28"/>
          <w:szCs w:val="28"/>
        </w:rPr>
        <w:t>, что во время ремонта дороги (ее участков) проезжая часть может быть закрыта для проезда не более чем на 50%. В тех случаях, когда проезд необходимо перекрыть более чем на 50%, должен быть обеспечен объезд.</w:t>
      </w:r>
    </w:p>
    <w:p w:rsidR="00846919" w:rsidRPr="00EF0478" w:rsidRDefault="00846919" w:rsidP="00846919">
      <w:pPr>
        <w:pStyle w:val="a3"/>
        <w:spacing w:after="0"/>
        <w:ind w:firstLine="709"/>
        <w:rPr>
          <w:color w:val="000000"/>
          <w:sz w:val="28"/>
          <w:szCs w:val="28"/>
        </w:rPr>
      </w:pPr>
      <w:r w:rsidRPr="00EF0478">
        <w:rPr>
          <w:color w:val="000000"/>
          <w:sz w:val="28"/>
          <w:szCs w:val="28"/>
        </w:rPr>
        <w:t>Устанавливать ограждения для проведения ремонта дороги (ее участков) разрешается не ранее, чем за 3 календарных дня до начала работ. А если сроки выполнения таких работ в соответствующих договорах не определены, установка ограждений не допускается.</w:t>
      </w:r>
    </w:p>
    <w:p w:rsidR="00846919" w:rsidRPr="00EF0478" w:rsidRDefault="00846919" w:rsidP="00846919">
      <w:pPr>
        <w:pStyle w:val="a3"/>
        <w:spacing w:after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EF0478">
        <w:rPr>
          <w:color w:val="000000"/>
          <w:sz w:val="28"/>
          <w:szCs w:val="28"/>
        </w:rPr>
        <w:t>арковка общего пользования может быть размещена на части автомобильной дороги, территории, примыкающей к проезжей части или тротуару, обочине, эстакаде или мосту либо в подэстакадных или подмостовых пространствах, на площадях и иных объектах улично-дорожной сети, а также в зданиях, строениях или сооружениях либо их части.</w:t>
      </w:r>
      <w:r>
        <w:rPr>
          <w:color w:val="000000"/>
          <w:sz w:val="28"/>
          <w:szCs w:val="28"/>
        </w:rPr>
        <w:t xml:space="preserve"> Р</w:t>
      </w:r>
      <w:r w:rsidRPr="00EF0478">
        <w:rPr>
          <w:color w:val="000000"/>
          <w:sz w:val="28"/>
          <w:szCs w:val="28"/>
        </w:rPr>
        <w:t>азмещение парковок общего пользования должно осуществляться с учетом обеспечения экологической безопасности и снижения негативного воздействия на окружающую среду, здоровье и благополучие населения.</w:t>
      </w:r>
    </w:p>
    <w:p w:rsidR="00846919" w:rsidRPr="00EF0478" w:rsidRDefault="00846919" w:rsidP="00846919">
      <w:pPr>
        <w:pStyle w:val="a3"/>
        <w:spacing w:after="0"/>
        <w:ind w:firstLine="709"/>
        <w:rPr>
          <w:color w:val="000000"/>
          <w:sz w:val="28"/>
          <w:szCs w:val="28"/>
        </w:rPr>
      </w:pPr>
      <w:r w:rsidRPr="00EF0478">
        <w:rPr>
          <w:color w:val="000000"/>
          <w:sz w:val="28"/>
          <w:szCs w:val="28"/>
        </w:rPr>
        <w:t>На территориях общего пользования, застроенных многоквартирными домами, решения о создании парковок будут принимать органы местного самоуправления с учетом мнения собственников помещений в МКД, расположенных на земельных участках, прилегающих к территориям общего пользования.</w:t>
      </w:r>
    </w:p>
    <w:p w:rsidR="00846919" w:rsidRPr="00EF0478" w:rsidRDefault="00846919" w:rsidP="00846919">
      <w:pPr>
        <w:pStyle w:val="a3"/>
        <w:spacing w:after="0"/>
        <w:ind w:firstLine="709"/>
        <w:rPr>
          <w:color w:val="000000"/>
          <w:sz w:val="28"/>
          <w:szCs w:val="28"/>
        </w:rPr>
      </w:pPr>
      <w:r w:rsidRPr="00EF0478">
        <w:rPr>
          <w:color w:val="000000"/>
          <w:sz w:val="28"/>
          <w:szCs w:val="28"/>
        </w:rPr>
        <w:t>Решения о создании парковок общего пользования в границах земельного участка, относящегося к общему имуществу собственников помещений в МКД, должны приниматься в соответствии с жилищным законодательством и земельным законодательством.</w:t>
      </w:r>
    </w:p>
    <w:p w:rsidR="00846919" w:rsidRPr="00EF0478" w:rsidRDefault="00846919" w:rsidP="00846919">
      <w:pPr>
        <w:pStyle w:val="a3"/>
        <w:spacing w:after="0"/>
        <w:ind w:firstLine="709"/>
        <w:rPr>
          <w:color w:val="000000"/>
          <w:sz w:val="28"/>
          <w:szCs w:val="28"/>
        </w:rPr>
      </w:pPr>
      <w:r w:rsidRPr="00EF0478">
        <w:rPr>
          <w:color w:val="000000"/>
          <w:sz w:val="28"/>
          <w:szCs w:val="28"/>
        </w:rPr>
        <w:t>Предусмотрено ведение реестра парковок общего пользования.</w:t>
      </w:r>
    </w:p>
    <w:p w:rsidR="00846919" w:rsidRPr="00EF0478" w:rsidRDefault="00846919" w:rsidP="00846919">
      <w:pPr>
        <w:pStyle w:val="a3"/>
        <w:spacing w:after="0"/>
        <w:ind w:firstLine="709"/>
        <w:rPr>
          <w:color w:val="000000"/>
          <w:sz w:val="28"/>
          <w:szCs w:val="28"/>
        </w:rPr>
      </w:pPr>
      <w:r w:rsidRPr="00EF0478">
        <w:rPr>
          <w:color w:val="000000"/>
          <w:sz w:val="28"/>
          <w:szCs w:val="28"/>
        </w:rPr>
        <w:t>Вместительность таких парковок будет определяться в соответствии с нормативами градостроительного проектирования. На них обязательно должны выделяться места для стоянки транспортных средств, управляемых инвалидами, перевозящих инвалидов.</w:t>
      </w:r>
    </w:p>
    <w:p w:rsidR="00846919" w:rsidRPr="00EF0478" w:rsidRDefault="00846919" w:rsidP="00846919">
      <w:pPr>
        <w:pStyle w:val="a3"/>
        <w:spacing w:after="0"/>
        <w:ind w:firstLine="709"/>
        <w:rPr>
          <w:color w:val="000000"/>
          <w:sz w:val="28"/>
          <w:szCs w:val="28"/>
        </w:rPr>
      </w:pPr>
      <w:r w:rsidRPr="00EF0478">
        <w:rPr>
          <w:color w:val="000000"/>
          <w:sz w:val="28"/>
          <w:szCs w:val="28"/>
        </w:rPr>
        <w:lastRenderedPageBreak/>
        <w:t>Парковка общего пользования может быть платной.</w:t>
      </w:r>
    </w:p>
    <w:p w:rsidR="00846919" w:rsidRPr="00EF0478" w:rsidRDefault="00846919" w:rsidP="00846919">
      <w:pPr>
        <w:pStyle w:val="a3"/>
        <w:spacing w:after="0"/>
        <w:ind w:firstLine="709"/>
        <w:rPr>
          <w:color w:val="000000"/>
          <w:sz w:val="28"/>
          <w:szCs w:val="28"/>
        </w:rPr>
      </w:pPr>
      <w:proofErr w:type="gramStart"/>
      <w:r w:rsidRPr="00EF0478">
        <w:rPr>
          <w:color w:val="000000"/>
          <w:sz w:val="28"/>
          <w:szCs w:val="28"/>
        </w:rPr>
        <w:t xml:space="preserve">При этом законом субъекта РФ могут быть запрещены платные парковки на территориях, непосредственно прилегающих к объектам спорта, зданиям, в которых размещены образовательные организации (в том числе дошкольные), медицинские организации государственной и муниципальной систем здравоохранения, </w:t>
      </w:r>
      <w:r>
        <w:rPr>
          <w:color w:val="000000"/>
          <w:sz w:val="28"/>
          <w:szCs w:val="28"/>
        </w:rPr>
        <w:t>организации культуры, органы в</w:t>
      </w:r>
      <w:r w:rsidRPr="00EF0478">
        <w:rPr>
          <w:color w:val="000000"/>
          <w:sz w:val="28"/>
          <w:szCs w:val="28"/>
        </w:rPr>
        <w:t xml:space="preserve">ласти, </w:t>
      </w:r>
      <w:r>
        <w:rPr>
          <w:color w:val="000000"/>
          <w:sz w:val="28"/>
          <w:szCs w:val="28"/>
        </w:rPr>
        <w:t>местного самоуправления</w:t>
      </w:r>
      <w:r w:rsidRPr="00EF0478">
        <w:rPr>
          <w:color w:val="000000"/>
          <w:sz w:val="28"/>
          <w:szCs w:val="28"/>
        </w:rPr>
        <w:t xml:space="preserve"> и организации, предоставляющие государственные и муниципальные услуги, а также на земельных участках, относящихся к общему имуществу МКД.</w:t>
      </w:r>
      <w:proofErr w:type="gramEnd"/>
    </w:p>
    <w:p w:rsidR="00846919" w:rsidRPr="00EF0478" w:rsidRDefault="00846919" w:rsidP="00846919">
      <w:pPr>
        <w:pStyle w:val="a3"/>
        <w:spacing w:after="0"/>
        <w:ind w:firstLine="709"/>
        <w:rPr>
          <w:color w:val="000000"/>
          <w:sz w:val="28"/>
          <w:szCs w:val="28"/>
        </w:rPr>
      </w:pPr>
      <w:r w:rsidRPr="00EF0478">
        <w:rPr>
          <w:color w:val="000000"/>
          <w:sz w:val="28"/>
          <w:szCs w:val="28"/>
        </w:rPr>
        <w:t>Также законом субъекта РФ могут быть установлены периоды времени суток, а также выходные и нерабочие праздничные дни, когда платные парковки, расположенные на землях, находящихся в государственной или муниципальной собственности, используются бесплатно.</w:t>
      </w:r>
      <w:r>
        <w:rPr>
          <w:color w:val="000000"/>
          <w:sz w:val="28"/>
          <w:szCs w:val="28"/>
        </w:rPr>
        <w:t xml:space="preserve"> </w:t>
      </w:r>
      <w:r w:rsidRPr="00EF0478">
        <w:rPr>
          <w:color w:val="000000"/>
          <w:sz w:val="28"/>
          <w:szCs w:val="28"/>
        </w:rPr>
        <w:t xml:space="preserve">Взимание платы за пользование платной парковкой должно быть организовано с использованием автоматизированной системы оплаты в наличной или безналичной форме. </w:t>
      </w:r>
      <w:r>
        <w:rPr>
          <w:color w:val="000000"/>
          <w:sz w:val="28"/>
          <w:szCs w:val="28"/>
        </w:rPr>
        <w:t>Е</w:t>
      </w:r>
      <w:r w:rsidRPr="00EF0478">
        <w:rPr>
          <w:color w:val="000000"/>
          <w:sz w:val="28"/>
          <w:szCs w:val="28"/>
        </w:rPr>
        <w:t>е размер не должен превышать максимальный размер, установленный органами власти субъектов РФ на основе специальных методических рекомендаций.</w:t>
      </w:r>
    </w:p>
    <w:p w:rsidR="00846919" w:rsidRPr="00EF0478" w:rsidRDefault="00846919" w:rsidP="00846919">
      <w:pPr>
        <w:pStyle w:val="a3"/>
        <w:spacing w:after="0"/>
        <w:ind w:firstLine="709"/>
        <w:rPr>
          <w:color w:val="000000"/>
          <w:sz w:val="28"/>
          <w:szCs w:val="28"/>
        </w:rPr>
      </w:pPr>
      <w:r w:rsidRPr="00EF0478">
        <w:rPr>
          <w:color w:val="000000"/>
          <w:sz w:val="28"/>
          <w:szCs w:val="28"/>
        </w:rPr>
        <w:t>От платы за парковку освобождены автомобили полиции, медицинской скорой помощи, пожарные автомобили, а также транспортные средства некоторых других специальных органов и служб, используемые в связи со служебной необходимостью. Для иных категорий пользователей (транспортных средств) право бесплатного или льготного пользования парковкой предоставляется в соответствии с другими федеральными законами, законодательством субъектов РФ, а также оно может предусматриваться самим владельцем парковки.</w:t>
      </w:r>
    </w:p>
    <w:p w:rsidR="00846919" w:rsidRPr="00EF0478" w:rsidRDefault="00846919" w:rsidP="00846919">
      <w:pPr>
        <w:pStyle w:val="a3"/>
        <w:spacing w:after="0"/>
        <w:ind w:firstLine="709"/>
        <w:rPr>
          <w:color w:val="000000"/>
          <w:sz w:val="28"/>
          <w:szCs w:val="28"/>
        </w:rPr>
      </w:pPr>
      <w:proofErr w:type="gramStart"/>
      <w:r w:rsidRPr="00EF0478">
        <w:rPr>
          <w:color w:val="000000"/>
          <w:sz w:val="28"/>
          <w:szCs w:val="28"/>
        </w:rPr>
        <w:t xml:space="preserve">Высшие исполнительные органы государственной власти субъектов РФ, органы </w:t>
      </w:r>
      <w:r>
        <w:rPr>
          <w:color w:val="000000"/>
          <w:sz w:val="28"/>
          <w:szCs w:val="28"/>
        </w:rPr>
        <w:t xml:space="preserve">местного самоуправления </w:t>
      </w:r>
      <w:hyperlink r:id="rId8" w:anchor="block_118" w:history="1">
        <w:r w:rsidRPr="00EF0478">
          <w:rPr>
            <w:rStyle w:val="a4"/>
            <w:color w:val="000000"/>
            <w:sz w:val="28"/>
            <w:szCs w:val="28"/>
          </w:rPr>
          <w:t>получили</w:t>
        </w:r>
      </w:hyperlink>
      <w:r>
        <w:rPr>
          <w:color w:val="000000"/>
          <w:sz w:val="28"/>
          <w:szCs w:val="28"/>
        </w:rPr>
        <w:t xml:space="preserve"> </w:t>
      </w:r>
      <w:r w:rsidRPr="00EF0478">
        <w:rPr>
          <w:color w:val="000000"/>
          <w:sz w:val="28"/>
          <w:szCs w:val="28"/>
        </w:rPr>
        <w:t>право в целях обеспечения эффективности организации дорожного движения вводить на автомобильных дорогах регионального или межмуниципального значения, автомобильных дорогах местного значения временные</w:t>
      </w:r>
      <w:r>
        <w:rPr>
          <w:color w:val="000000"/>
          <w:sz w:val="28"/>
          <w:szCs w:val="28"/>
        </w:rPr>
        <w:t xml:space="preserve"> </w:t>
      </w:r>
      <w:r w:rsidRPr="00EF0478">
        <w:rPr>
          <w:color w:val="000000"/>
          <w:sz w:val="28"/>
          <w:szCs w:val="28"/>
        </w:rPr>
        <w:t>ограничени</w:t>
      </w:r>
      <w:r>
        <w:rPr>
          <w:color w:val="000000"/>
          <w:sz w:val="28"/>
          <w:szCs w:val="28"/>
        </w:rPr>
        <w:t>я</w:t>
      </w:r>
      <w:r w:rsidRPr="00EF0478">
        <w:rPr>
          <w:color w:val="000000"/>
          <w:sz w:val="28"/>
          <w:szCs w:val="28"/>
        </w:rPr>
        <w:t xml:space="preserve"> или прекращение движения</w:t>
      </w:r>
      <w:r>
        <w:rPr>
          <w:color w:val="000000"/>
          <w:sz w:val="28"/>
          <w:szCs w:val="28"/>
        </w:rPr>
        <w:t xml:space="preserve"> </w:t>
      </w:r>
      <w:r w:rsidRPr="00EF0478">
        <w:rPr>
          <w:color w:val="000000"/>
          <w:sz w:val="28"/>
          <w:szCs w:val="28"/>
        </w:rPr>
        <w:t>транспортных средств определенных видов (типов), категорий, экологического класса, наполненности пассажирами, а также вводить такие ограничение или прекращение движения транспортных средств в отношении определенных дней</w:t>
      </w:r>
      <w:proofErr w:type="gramEnd"/>
      <w:r w:rsidRPr="00EF0478">
        <w:rPr>
          <w:color w:val="000000"/>
          <w:sz w:val="28"/>
          <w:szCs w:val="28"/>
        </w:rPr>
        <w:t xml:space="preserve"> и времени суток. При принятии подобного решения обязательно должны быть осуществлены компенсационные мероприятия, направленные на повышение качества транспортного обслуживания населения (повышение </w:t>
      </w:r>
      <w:proofErr w:type="gramStart"/>
      <w:r w:rsidRPr="00EF0478">
        <w:rPr>
          <w:color w:val="000000"/>
          <w:sz w:val="28"/>
          <w:szCs w:val="28"/>
        </w:rPr>
        <w:t>качества работы маршрутов регулярных перевозок пассажиров</w:t>
      </w:r>
      <w:proofErr w:type="gramEnd"/>
      <w:r w:rsidRPr="00EF0478">
        <w:rPr>
          <w:color w:val="000000"/>
          <w:sz w:val="28"/>
          <w:szCs w:val="28"/>
        </w:rPr>
        <w:t xml:space="preserve"> и багажа, открытие новых маршрутов, развитие инфраструктуры в целях обеспечения движения велосипедистов и т.п.).</w:t>
      </w:r>
    </w:p>
    <w:p w:rsidR="00846919" w:rsidRDefault="00846919" w:rsidP="00846919">
      <w:pPr>
        <w:ind w:firstLine="709"/>
        <w:jc w:val="both"/>
        <w:rPr>
          <w:color w:val="000000"/>
          <w:sz w:val="28"/>
          <w:szCs w:val="28"/>
        </w:rPr>
      </w:pPr>
    </w:p>
    <w:p w:rsidR="00846919" w:rsidRPr="00696818" w:rsidRDefault="00846919" w:rsidP="00846919">
      <w:pPr>
        <w:ind w:firstLine="709"/>
        <w:jc w:val="both"/>
        <w:rPr>
          <w:color w:val="000000"/>
          <w:sz w:val="28"/>
          <w:szCs w:val="28"/>
        </w:rPr>
      </w:pPr>
    </w:p>
    <w:p w:rsidR="00846919" w:rsidRPr="00696818" w:rsidRDefault="00846919" w:rsidP="00846919">
      <w:pPr>
        <w:jc w:val="both"/>
        <w:rPr>
          <w:color w:val="000000"/>
          <w:sz w:val="28"/>
          <w:szCs w:val="28"/>
        </w:rPr>
      </w:pPr>
      <w:r w:rsidRPr="00696818">
        <w:rPr>
          <w:color w:val="000000"/>
          <w:sz w:val="28"/>
          <w:szCs w:val="28"/>
        </w:rPr>
        <w:t xml:space="preserve">Прокурор Нижневартовского района </w:t>
      </w:r>
      <w:r w:rsidRPr="00696818">
        <w:rPr>
          <w:color w:val="000000"/>
          <w:sz w:val="28"/>
          <w:szCs w:val="28"/>
        </w:rPr>
        <w:tab/>
      </w:r>
      <w:r w:rsidRPr="00696818">
        <w:rPr>
          <w:color w:val="000000"/>
          <w:sz w:val="28"/>
          <w:szCs w:val="28"/>
        </w:rPr>
        <w:tab/>
      </w:r>
      <w:r w:rsidRPr="00696818">
        <w:rPr>
          <w:color w:val="000000"/>
          <w:sz w:val="28"/>
          <w:szCs w:val="28"/>
        </w:rPr>
        <w:tab/>
        <w:t xml:space="preserve">            С.В. Филипенко</w:t>
      </w:r>
    </w:p>
    <w:p w:rsidR="00846919" w:rsidRPr="00696818" w:rsidRDefault="00846919" w:rsidP="00846919">
      <w:pPr>
        <w:spacing w:line="360" w:lineRule="auto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846919" w:rsidRPr="00696818" w:rsidRDefault="00846919" w:rsidP="00846919">
      <w:pPr>
        <w:spacing w:line="360" w:lineRule="auto"/>
        <w:jc w:val="both"/>
        <w:rPr>
          <w:color w:val="000000"/>
          <w:sz w:val="20"/>
          <w:szCs w:val="28"/>
        </w:rPr>
      </w:pPr>
      <w:r w:rsidRPr="00696818">
        <w:rPr>
          <w:color w:val="000000"/>
          <w:sz w:val="20"/>
          <w:szCs w:val="28"/>
        </w:rPr>
        <w:t>А.Х. Васильева, тел.(3466) 262580</w:t>
      </w:r>
    </w:p>
    <w:p w:rsidR="000C1A5E" w:rsidRDefault="000C1A5E"/>
    <w:sectPr w:rsidR="000C1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9D5"/>
    <w:rsid w:val="000C1A5E"/>
    <w:rsid w:val="004329D5"/>
    <w:rsid w:val="0084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69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691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rsid w:val="00846919"/>
    <w:pPr>
      <w:spacing w:after="225"/>
      <w:jc w:val="both"/>
    </w:pPr>
  </w:style>
  <w:style w:type="character" w:styleId="a4">
    <w:name w:val="Hyperlink"/>
    <w:uiPriority w:val="99"/>
    <w:unhideWhenUsed/>
    <w:rsid w:val="00846919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a5">
    <w:name w:val="Balloon Text"/>
    <w:basedOn w:val="a"/>
    <w:link w:val="a6"/>
    <w:uiPriority w:val="99"/>
    <w:semiHidden/>
    <w:unhideWhenUsed/>
    <w:rsid w:val="008469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691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69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691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rsid w:val="00846919"/>
    <w:pPr>
      <w:spacing w:after="225"/>
      <w:jc w:val="both"/>
    </w:pPr>
  </w:style>
  <w:style w:type="character" w:styleId="a4">
    <w:name w:val="Hyperlink"/>
    <w:uiPriority w:val="99"/>
    <w:unhideWhenUsed/>
    <w:rsid w:val="00846919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a5">
    <w:name w:val="Balloon Text"/>
    <w:basedOn w:val="a"/>
    <w:link w:val="a6"/>
    <w:uiPriority w:val="99"/>
    <w:semiHidden/>
    <w:unhideWhenUsed/>
    <w:rsid w:val="008469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69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1848756/9d78f2e21a0e8d6e5a75ac4e4a93983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71848756/9d78f2e21a0e8d6e5a75ac4e4a93983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e.garant.ru/71848756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788</Words>
  <Characters>4497</Characters>
  <Application>Microsoft Office Word</Application>
  <DocSecurity>0</DocSecurity>
  <Lines>37</Lines>
  <Paragraphs>10</Paragraphs>
  <ScaleCrop>false</ScaleCrop>
  <Company/>
  <LinksUpToDate>false</LinksUpToDate>
  <CharactersWithSpaces>5275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lobik</dc:creator>
  <cp:keywords/>
  <dc:description/>
  <cp:lastModifiedBy>lobik</cp:lastModifiedBy>
  <cp:revision>2</cp:revision>
  <dcterms:created xsi:type="dcterms:W3CDTF">2019-01-11T02:53:00Z</dcterms:created>
  <dcterms:modified xsi:type="dcterms:W3CDTF">2019-01-11T02:53:00Z</dcterms:modified>
</cp:coreProperties>
</file>