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Банком России даны разъяснения по вопросу определения момента изменения условий обязательства субъекта кредитной истории, в частности, типа сделки, цели займа (кредита), суммы и валюты обязательства, периодичности и сроков внесения платежей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Отмечается, в частности, что, поскольку источник формирования кредитной истории является стороной договора, момент начала действия изменений условий обязательства субъекта должен быть ему известен.</w:t>
      </w: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Определены особенности определения времени, когда изменились указанные сведения. (</w:t>
      </w:r>
      <w:r>
        <w:rPr>
          <w:rFonts w:ascii="Times New Roman" w:hAnsi="Times New Roman"/>
          <w:sz w:val="28"/>
        </w:rPr>
        <w:t>&lt;</w:t>
      </w:r>
      <w:r>
        <w:rPr>
          <w:rFonts w:ascii="Times New Roman" w:hAnsi="Times New Roman"/>
          <w:sz w:val="28"/>
        </w:rPr>
        <w:t>Письмо&gt;</w:t>
      </w:r>
      <w:r>
        <w:rPr>
          <w:rFonts w:ascii="Times New Roman" w:hAnsi="Times New Roman"/>
          <w:sz w:val="28"/>
        </w:rPr>
        <w:t xml:space="preserve"> Банка России от 03.07.2026 N 44-8-1/4265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"Об определении времени и часовой зоны фактического места наступления события 2.1 (в дополнение к письму от 20.02.2026 N 44-8-1/1069)")</w:t>
      </w: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2026-07-26T09:45:16Z</dcterms:created>
  <dcterms:modified xsi:type="dcterms:W3CDTF">2026-07-26T09:45:16Z</dcterms:modified>
</cp:coreProperties>
</file>