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выдачи разрешений на оборот объектов животного мира распространены на виды, занесенные в красные книги субъектов РФ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разрешения заинтересованное лицо представляет заявление: в Федеральную службу по надзору в сфере природопользования - в отношении объектов животного мира, занесенных в Красную книгу РФ, а также объектов животного мира, занесенных как в Красную книгу Российской Федерации, так и в Красную книгу субъекта Российской Федерации.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Скорректированы требования к содержанию заявления и прилагаемым документам.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Разрешения на оборот выдаются при условии соответствия целей пользования объектами животного мира, занесенными в Красную книгу Российской Федерации и (или) красные книги субъектов Российской Федерации, предполагаемого срока пользования объектами животного мира и условий их содержания установленным требованиям.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введено положение, согласно которому содержание в неволе объектов животного мира, занесенных в красные книги субъектов РФ, допускается на территории соответствующего субъекта только в целях их сохранения и воспроизводства в искусственно созданной среде обитания, а также в научных и культурно-просветительских целях (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Правительства РФ от 01.06.2026 N 672 </w:t>
      </w:r>
      <w:r>
        <w:rPr>
          <w:rFonts w:ascii="Times New Roman" w:hAnsi="Times New Roman"/>
          <w:sz w:val="28"/>
        </w:rPr>
        <w:t>"О внесении изменений в постановление Правительства Российской Федерации от 11 марта 2022 г. N 343")</w:t>
      </w:r>
      <w:r>
        <w:rPr>
          <w:rFonts w:ascii="Times New Roman" w:hAnsi="Times New Roman"/>
          <w:sz w:val="28"/>
        </w:rPr>
        <w:t>.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0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2026-06-08T14:55:21Z</dcterms:created>
  <dcterms:modified xsi:type="dcterms:W3CDTF">2026-06-08T14:55:21Z</dcterms:modified>
</cp:coreProperties>
</file>